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5F3" w:rsidRDefault="00E755F3" w:rsidP="00E755F3">
      <w:pPr>
        <w:spacing w:after="0" w:line="240" w:lineRule="auto"/>
        <w:ind w:firstLine="709"/>
        <w:jc w:val="right"/>
        <w:rPr>
          <w:rFonts w:ascii="Times New Roman" w:hAnsi="Times New Roman" w:cs="Times New Roman"/>
          <w:sz w:val="24"/>
          <w:szCs w:val="28"/>
        </w:rPr>
      </w:pPr>
      <w:bookmarkStart w:id="0" w:name="_GoBack"/>
      <w:bookmarkEnd w:id="0"/>
      <w:r>
        <w:rPr>
          <w:rFonts w:ascii="Times New Roman" w:hAnsi="Times New Roman" w:cs="Times New Roman"/>
          <w:sz w:val="24"/>
          <w:szCs w:val="28"/>
        </w:rPr>
        <w:t xml:space="preserve">Приложение № 2 </w:t>
      </w:r>
    </w:p>
    <w:p w:rsidR="00512A21" w:rsidRDefault="00E755F3" w:rsidP="00E755F3">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к </w:t>
      </w:r>
      <w:r w:rsidR="00F418A1">
        <w:rPr>
          <w:rFonts w:ascii="Times New Roman" w:hAnsi="Times New Roman" w:cs="Times New Roman"/>
          <w:sz w:val="24"/>
          <w:szCs w:val="28"/>
        </w:rPr>
        <w:t xml:space="preserve">паспорту </w:t>
      </w:r>
      <w:r>
        <w:rPr>
          <w:rFonts w:ascii="Times New Roman" w:hAnsi="Times New Roman" w:cs="Times New Roman"/>
          <w:sz w:val="24"/>
          <w:szCs w:val="28"/>
        </w:rPr>
        <w:t>подпрограмм</w:t>
      </w:r>
      <w:r w:rsidR="00F418A1">
        <w:rPr>
          <w:rFonts w:ascii="Times New Roman" w:hAnsi="Times New Roman" w:cs="Times New Roman"/>
          <w:sz w:val="24"/>
          <w:szCs w:val="28"/>
        </w:rPr>
        <w:t>ы</w:t>
      </w:r>
      <w:r>
        <w:rPr>
          <w:rFonts w:ascii="Times New Roman" w:hAnsi="Times New Roman" w:cs="Times New Roman"/>
          <w:sz w:val="24"/>
          <w:szCs w:val="28"/>
        </w:rPr>
        <w:t xml:space="preserve"> «</w:t>
      </w:r>
      <w:r w:rsidR="00512A21" w:rsidRPr="00512A21">
        <w:rPr>
          <w:rFonts w:ascii="Times New Roman" w:hAnsi="Times New Roman" w:cs="Times New Roman"/>
          <w:sz w:val="24"/>
          <w:szCs w:val="28"/>
        </w:rPr>
        <w:t>Автомобильные дороги</w:t>
      </w:r>
      <w:r>
        <w:rPr>
          <w:rFonts w:ascii="Times New Roman" w:hAnsi="Times New Roman" w:cs="Times New Roman"/>
          <w:sz w:val="24"/>
          <w:szCs w:val="28"/>
        </w:rPr>
        <w:t xml:space="preserve">» </w:t>
      </w:r>
    </w:p>
    <w:p w:rsidR="00512A21" w:rsidRDefault="00E755F3" w:rsidP="00E755F3">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государственной программе «Обеспечение реализации</w:t>
      </w:r>
      <w:r w:rsidR="00512A21">
        <w:rPr>
          <w:rFonts w:ascii="Times New Roman" w:hAnsi="Times New Roman" w:cs="Times New Roman"/>
          <w:sz w:val="24"/>
          <w:szCs w:val="28"/>
        </w:rPr>
        <w:t xml:space="preserve"> </w:t>
      </w:r>
    </w:p>
    <w:p w:rsidR="00E755F3" w:rsidRDefault="00E755F3" w:rsidP="00E755F3">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государственных полномочий в области строительства,</w:t>
      </w:r>
    </w:p>
    <w:p w:rsidR="00E755F3" w:rsidRDefault="00E755F3" w:rsidP="00E755F3">
      <w:pPr>
        <w:pStyle w:val="ConsPlusTitle"/>
        <w:jc w:val="right"/>
        <w:rPr>
          <w:rFonts w:ascii="Times New Roman" w:hAnsi="Times New Roman" w:cs="Times New Roman"/>
          <w:b w:val="0"/>
          <w:sz w:val="28"/>
          <w:szCs w:val="28"/>
        </w:rPr>
      </w:pPr>
      <w:r>
        <w:rPr>
          <w:rFonts w:ascii="Times New Roman" w:hAnsi="Times New Roman" w:cs="Times New Roman"/>
          <w:b w:val="0"/>
          <w:sz w:val="24"/>
          <w:szCs w:val="28"/>
        </w:rPr>
        <w:t>архитектуры и развитие дорожного хозяйства Брянской области»</w:t>
      </w:r>
    </w:p>
    <w:p w:rsidR="00E755F3" w:rsidRDefault="00E755F3" w:rsidP="00E62040">
      <w:pPr>
        <w:autoSpaceDE w:val="0"/>
        <w:autoSpaceDN w:val="0"/>
        <w:adjustRightInd w:val="0"/>
        <w:spacing w:after="0" w:line="240" w:lineRule="auto"/>
        <w:ind w:firstLine="709"/>
        <w:jc w:val="center"/>
        <w:rPr>
          <w:rFonts w:ascii="Times New Roman" w:hAnsi="Times New Roman" w:cs="Times New Roman"/>
          <w:bCs/>
          <w:sz w:val="28"/>
          <w:szCs w:val="28"/>
        </w:rPr>
      </w:pPr>
    </w:p>
    <w:p w:rsidR="00327EBC" w:rsidRPr="00E62040" w:rsidRDefault="00327EBC" w:rsidP="00E62040">
      <w:pPr>
        <w:autoSpaceDE w:val="0"/>
        <w:autoSpaceDN w:val="0"/>
        <w:adjustRightInd w:val="0"/>
        <w:spacing w:after="0" w:line="240" w:lineRule="auto"/>
        <w:ind w:firstLine="709"/>
        <w:jc w:val="center"/>
        <w:rPr>
          <w:rFonts w:ascii="Times New Roman" w:hAnsi="Times New Roman" w:cs="Times New Roman"/>
          <w:bCs/>
          <w:sz w:val="28"/>
          <w:szCs w:val="28"/>
        </w:rPr>
      </w:pPr>
      <w:r w:rsidRPr="00E62040">
        <w:rPr>
          <w:rFonts w:ascii="Times New Roman" w:hAnsi="Times New Roman" w:cs="Times New Roman"/>
          <w:bCs/>
          <w:sz w:val="28"/>
          <w:szCs w:val="28"/>
        </w:rPr>
        <w:t>Порядок</w:t>
      </w:r>
    </w:p>
    <w:p w:rsidR="00327EBC" w:rsidRPr="00E62040" w:rsidRDefault="00327EBC" w:rsidP="00A04E99">
      <w:pPr>
        <w:autoSpaceDE w:val="0"/>
        <w:autoSpaceDN w:val="0"/>
        <w:adjustRightInd w:val="0"/>
        <w:spacing w:after="0" w:line="240" w:lineRule="auto"/>
        <w:ind w:firstLine="709"/>
        <w:jc w:val="center"/>
        <w:rPr>
          <w:rFonts w:ascii="Times New Roman" w:hAnsi="Times New Roman" w:cs="Times New Roman"/>
          <w:bCs/>
          <w:sz w:val="28"/>
          <w:szCs w:val="28"/>
        </w:rPr>
      </w:pPr>
      <w:r w:rsidRPr="00E62040">
        <w:rPr>
          <w:rFonts w:ascii="Times New Roman" w:hAnsi="Times New Roman" w:cs="Times New Roman"/>
          <w:bCs/>
          <w:sz w:val="28"/>
          <w:szCs w:val="28"/>
        </w:rPr>
        <w:t xml:space="preserve">предоставления </w:t>
      </w:r>
      <w:r w:rsidR="00A04E99" w:rsidRPr="00A04E99">
        <w:rPr>
          <w:rFonts w:ascii="Times New Roman" w:hAnsi="Times New Roman" w:cs="Times New Roman"/>
          <w:bCs/>
          <w:sz w:val="28"/>
          <w:szCs w:val="28"/>
        </w:rPr>
        <w:t>субсидий бюджетам муниципальных образований на развитие и совершенствование сети автомобильных дорог местного значения общего пользования в рамках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 xml:space="preserve"> 362-п (далее - Правила формирования, предоставления и распределения субсидий), разработан в целях предоставления субсидий бюджетам муниципальных образований из областного бюджета </w:t>
      </w:r>
      <w:r w:rsidR="00A04E99" w:rsidRPr="00A04E99">
        <w:rPr>
          <w:rFonts w:ascii="Times New Roman" w:hAnsi="Times New Roman" w:cs="Times New Roman"/>
          <w:sz w:val="28"/>
          <w:szCs w:val="28"/>
        </w:rPr>
        <w:t>на развитие и совершенствование сети автомобильных дорог местного значения общего пользования в рамках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r w:rsidRPr="00E62040">
        <w:rPr>
          <w:rFonts w:ascii="Times New Roman" w:hAnsi="Times New Roman" w:cs="Times New Roman"/>
          <w:sz w:val="28"/>
          <w:szCs w:val="28"/>
        </w:rPr>
        <w:t xml:space="preserve"> (далее - субсидии) и определяет цели и условия их предоставления и расходования, критерии отбора муниципальных образований для предоставления субсидий, порядок отчетности об использовании субсидий, а также критерий оценки эффективности использования муниципальными образованиями предоставляемых субсидий.</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Субсидия </w:t>
      </w:r>
      <w:r w:rsidR="00327EBC" w:rsidRPr="00E62040">
        <w:rPr>
          <w:rFonts w:ascii="Times New Roman" w:hAnsi="Times New Roman" w:cs="Times New Roman"/>
          <w:sz w:val="28"/>
          <w:szCs w:val="28"/>
        </w:rPr>
        <w:t xml:space="preserve">предоставляются бюджетам муниципальных образований на развитие и совершенствование сети автомобильных дорог регионального значения общего пользования, включающих в себя мероприятия по строительству и реконструкцию автомобильных дорог общего пользования местного значения и искусственных сооружений на них (с учетом комплекса строительно-монтажных работ, затрат на приобретение оборудования, работ по подготовке территории строительства, включающего в себя изъятие земельных участков, необходимых для размещения автомобильной дороги, отчуждение недвижимого имущества в связи с изъятием земельного участка, на котором оно находится, оформление прав владения и пользования на указанный земельный участок, снос зданий, строений и сооружений, переустройство (перенос) инженерных коммуникаций, вырубку леса, проведение археологических раскопок в пределах территории строительства, разминирование территории строительства, прочих работ и затрат на содержание действующих постоянных автомобильных дорог и </w:t>
      </w:r>
      <w:r w:rsidR="00327EBC" w:rsidRPr="00E62040">
        <w:rPr>
          <w:rFonts w:ascii="Times New Roman" w:hAnsi="Times New Roman" w:cs="Times New Roman"/>
          <w:sz w:val="28"/>
          <w:szCs w:val="28"/>
        </w:rPr>
        <w:lastRenderedPageBreak/>
        <w:t xml:space="preserve">восстановление их после окончания строительства, затрат по перевозке автомобильным транспортом работников, затраты на проведение пусконаладочных работ, затраты по строительному контролю (техническому надзору), авторскому надзору и других работ (услуг), необходимых на стадии реализации объекта, включенных в сводный сметный расчет проектной документации (далее - работы (услуги)), в том числе на строительство и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исполнения мероприятия </w:t>
      </w:r>
      <w:r w:rsidRPr="00E62040">
        <w:rPr>
          <w:rFonts w:ascii="Times New Roman" w:hAnsi="Times New Roman" w:cs="Times New Roman"/>
          <w:sz w:val="28"/>
          <w:szCs w:val="28"/>
        </w:rPr>
        <w:t>«</w:t>
      </w:r>
      <w:r w:rsidR="00327EBC" w:rsidRPr="00E62040">
        <w:rPr>
          <w:rFonts w:ascii="Times New Roman" w:hAnsi="Times New Roman" w:cs="Times New Roman"/>
          <w:sz w:val="28"/>
          <w:szCs w:val="28"/>
        </w:rPr>
        <w:t>Развитие и совершенствование сети автомобильных дорог местного значения общего пользования</w:t>
      </w:r>
      <w:r w:rsidRPr="00E62040">
        <w:rPr>
          <w:rFonts w:ascii="Times New Roman" w:hAnsi="Times New Roman" w:cs="Times New Roman"/>
          <w:sz w:val="28"/>
          <w:szCs w:val="28"/>
        </w:rPr>
        <w:t>»</w:t>
      </w:r>
      <w:r w:rsidR="00327EBC" w:rsidRPr="00E62040">
        <w:rPr>
          <w:rFonts w:ascii="Times New Roman" w:hAnsi="Times New Roman" w:cs="Times New Roman"/>
          <w:sz w:val="28"/>
          <w:szCs w:val="28"/>
        </w:rPr>
        <w:t>.</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3. Условием предоставления субсидии бюджетам муниципальных образований на цели, предусмотренные п. 2 настоящего Порядка, является наличие ассигнований в бюджетах муниципальных образований в объеме не менее 5% объема расходного обязательства муниципального образования. Уровень софинансирования расходных обязательств муниципальных образований за счет субсидий из областного бюджета не может превышать 95% объема расходного обязательства муниципального образования.</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4. В случае уменьшения общего объема бюджетных ассигнований, предусмотренных на реализацию работ (услуг), в том числе в связи с уменьшением сметной или предполагаемой (предельной) стоимости работ (услуг) объекта капитального строительства, субсидия предоставляется в размере, определенном исходя из уровня софинансирования от уточненного общего объема бюджетных ассигнований, предусмотренных в финансовом году в бюджете муниципального образования. В случае увеличения в финансовом году общего объема бюджетных ассигнований на капитальное строительство, в том числе в связи с увеличением сметной или предполагаемой (предельной) стоимости объекта капитального строительства, размер субсидии не подлежит изменению.</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5.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6. Отбор муниципальных образований для предоставления субсидий проводит КУ </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Управление автомобильных дорог Брянской области</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 xml:space="preserve"> (далее - учреждение).</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1" w:name="Par21"/>
      <w:bookmarkEnd w:id="1"/>
      <w:r w:rsidRPr="00E62040">
        <w:rPr>
          <w:rFonts w:ascii="Times New Roman" w:hAnsi="Times New Roman" w:cs="Times New Roman"/>
          <w:sz w:val="28"/>
          <w:szCs w:val="28"/>
        </w:rPr>
        <w:t>7. Субсидии предоставляются бюджетам муниципальных образований при соблюдении следующих условий:</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 </w:t>
      </w:r>
      <w:r w:rsidR="00327EBC" w:rsidRPr="00E62040">
        <w:rPr>
          <w:rFonts w:ascii="Times New Roman" w:hAnsi="Times New Roman" w:cs="Times New Roman"/>
          <w:sz w:val="28"/>
          <w:szCs w:val="28"/>
        </w:rPr>
        <w:t>наличие подтверждения принадлежности объектов капитального строительства к муниципальной собственности;</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 </w:t>
      </w:r>
      <w:r w:rsidR="00327EBC" w:rsidRPr="00E62040">
        <w:rPr>
          <w:rFonts w:ascii="Times New Roman" w:hAnsi="Times New Roman" w:cs="Times New Roman"/>
          <w:sz w:val="28"/>
          <w:szCs w:val="28"/>
        </w:rPr>
        <w:t>подписание соглашения о предоставлении субсидии, заключаемого между главным распорядителем бюджетных средств, учреждением и администрациями муниципальных образований Брянской области. Форма соглашения согласовывается с главным распорядителем бюджетных средств.</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2" w:name="Par24"/>
      <w:bookmarkEnd w:id="2"/>
      <w:r w:rsidRPr="00E62040">
        <w:rPr>
          <w:rFonts w:ascii="Times New Roman" w:hAnsi="Times New Roman" w:cs="Times New Roman"/>
          <w:sz w:val="28"/>
          <w:szCs w:val="28"/>
        </w:rPr>
        <w:t>8. Критериями отбора муниципальных образований являются:</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lastRenderedPageBreak/>
        <w:t xml:space="preserve">- </w:t>
      </w:r>
      <w:r w:rsidR="00327EBC" w:rsidRPr="00E62040">
        <w:rPr>
          <w:rFonts w:ascii="Times New Roman" w:hAnsi="Times New Roman" w:cs="Times New Roman"/>
          <w:sz w:val="28"/>
          <w:szCs w:val="28"/>
        </w:rPr>
        <w:t>обязательство органа местного самоуправления о представлении сведений о наличии утвержденной проектной документации на объекты строительства и реконструкции автомобильных дорог, имеющей положительное заключение государственной экспертизы проектной документации и экспертизы проверки достоверности определения сметной стоимости объекта,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случае, если проведение этой экспертизы в соответствии с законодательством Российской Федерации является обязательным) в срок до 30 календарных дней после подачи заявления;</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 </w:t>
      </w:r>
      <w:r w:rsidR="00327EBC" w:rsidRPr="00E62040">
        <w:rPr>
          <w:rFonts w:ascii="Times New Roman" w:hAnsi="Times New Roman" w:cs="Times New Roman"/>
          <w:sz w:val="28"/>
          <w:szCs w:val="28"/>
        </w:rPr>
        <w:t>наличие реквизитов нормативного правового акта муниципального образования,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 связанных с реализацией объектов капитального строительства, в объеме не менее объема, необходимого для обеспечения предельного уровня софинансирования расходного обязательства муниципального об</w:t>
      </w:r>
      <w:r w:rsidR="00EE3337">
        <w:rPr>
          <w:rFonts w:ascii="Times New Roman" w:hAnsi="Times New Roman" w:cs="Times New Roman"/>
          <w:sz w:val="28"/>
          <w:szCs w:val="28"/>
        </w:rPr>
        <w:t>разования из областного бюджета.</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В первоочередном порядке рассматриваются объекты, имеющие приоритетное значение. К объектам, имеющим приоритетное значение, в целях использования в настоящем Порядке относятся объекты, строительство (реконструкция) которых осуществляется во исполнение нормативных правовых актов и поручений Президента Российской Федерации и Правительства Российской Федерации, нормативных правовых актов и поручений Губернатора Брянской области.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Муниципальное образование представляет в учреждение заявление о предоставлении субсидий с приложением следующих материалов:</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 </w:t>
      </w:r>
      <w:r w:rsidR="00327EBC" w:rsidRPr="00E62040">
        <w:rPr>
          <w:rFonts w:ascii="Times New Roman" w:hAnsi="Times New Roman" w:cs="Times New Roman"/>
          <w:sz w:val="28"/>
          <w:szCs w:val="28"/>
        </w:rPr>
        <w:t>перечень объектов строительства и реконструкции автомобильных дорог общего пользования местного значения и искусственных сооружений на них с указанием заказчика, мощности, планового срока завершения объекта и необходимого объема финансовых средств;</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 </w:t>
      </w:r>
      <w:r w:rsidR="00327EBC" w:rsidRPr="00E62040">
        <w:rPr>
          <w:rFonts w:ascii="Times New Roman" w:hAnsi="Times New Roman" w:cs="Times New Roman"/>
          <w:sz w:val="28"/>
          <w:szCs w:val="28"/>
        </w:rPr>
        <w:t>копия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 </w:t>
      </w:r>
      <w:r w:rsidR="00327EBC" w:rsidRPr="00E62040">
        <w:rPr>
          <w:rFonts w:ascii="Times New Roman" w:hAnsi="Times New Roman" w:cs="Times New Roman"/>
          <w:sz w:val="28"/>
          <w:szCs w:val="28"/>
        </w:rPr>
        <w:t>выписка из бюджета муниципального образования, подтверждающая софинансирование объектов за счет средств местных бюджетов.</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lastRenderedPageBreak/>
        <w:t>Срок представления заявления о предоставлении субсидии и прилагаемых к нему документов устанавливается учреждением.</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Учреждение в двухнедельный срок с даты получения заявления и предусмотренных настоящим Порядком документов:</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а) осуществляет проверку правильности оформления документов;</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б) принимает решение о выделении субсидии либо возврате заявления (с указанием причин возврата) с направлением муниципальному образованию соответствующего уведомления.</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Основанием для возврата заявления является непредставление или представление не в полном объеме документов, указанных в пункте 7 настоящего Порядка.</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Муниципальное образование в случае возврата заявления вправе в двухнедельный срок, устранив недостатки, повторно представить заявление в учреждение.</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9. Учреждение с учетом критериев, перечисленных в пункте 8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3" w:name="Par40"/>
      <w:bookmarkEnd w:id="3"/>
      <w:r w:rsidRPr="00E62040">
        <w:rPr>
          <w:rFonts w:ascii="Times New Roman" w:hAnsi="Times New Roman" w:cs="Times New Roman"/>
          <w:sz w:val="28"/>
          <w:szCs w:val="28"/>
        </w:rPr>
        <w:t xml:space="preserve">10.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 xml:space="preserve"> 89-З </w:t>
      </w:r>
      <w:r w:rsidR="00E62040" w:rsidRPr="00E62040">
        <w:rPr>
          <w:rFonts w:ascii="Times New Roman" w:hAnsi="Times New Roman" w:cs="Times New Roman"/>
          <w:sz w:val="28"/>
          <w:szCs w:val="28"/>
        </w:rPr>
        <w:br/>
        <w:t>«</w:t>
      </w:r>
      <w:r w:rsidRPr="00E62040">
        <w:rPr>
          <w:rFonts w:ascii="Times New Roman" w:hAnsi="Times New Roman" w:cs="Times New Roman"/>
          <w:sz w:val="28"/>
          <w:szCs w:val="28"/>
        </w:rPr>
        <w:t>О межбюджетных отношениях в Брянской области</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 Перечень объектов капитальных вложений утверждается нормативными правовыми актами Брянской области.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11. Администрации муниципальных образований осуществляют закупку работ (услуг) на реализацию целей, предусмотренных пунктом 2 настоящего Порядка, в соответствии с Федеральным законом от 5 апреля 2013 года </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 xml:space="preserve"> 44-ФЗ </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12.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13. Администрации муниципальных образований ежемесячно представляют учреждению в срок до 5 числа месяца, следующего за отчетным, отчет об освоении средств областного и местного бюджетов, выделенных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 по установленной форме, установленной в соглашении о предоставлении субсидий.</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4" w:name="Par44"/>
      <w:bookmarkEnd w:id="4"/>
      <w:r w:rsidRPr="00E62040">
        <w:rPr>
          <w:rFonts w:ascii="Times New Roman" w:hAnsi="Times New Roman" w:cs="Times New Roman"/>
          <w:sz w:val="28"/>
          <w:szCs w:val="28"/>
        </w:rPr>
        <w:t>13.1. Показателем результативности использования субсидии является прирост сети автомобильных дорог местного значения.</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5" w:name="Par45"/>
      <w:bookmarkEnd w:id="5"/>
      <w:r w:rsidRPr="00E62040">
        <w:rPr>
          <w:rFonts w:ascii="Times New Roman" w:hAnsi="Times New Roman" w:cs="Times New Roman"/>
          <w:sz w:val="28"/>
          <w:szCs w:val="28"/>
        </w:rPr>
        <w:lastRenderedPageBreak/>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предоставления субсидии. Критерием оценки эффективности предоставления субсидии является прирост сети автомобильных дорог местного значения.</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6" w:name="Par46"/>
      <w:bookmarkEnd w:id="6"/>
      <w:r w:rsidRPr="00E62040">
        <w:rPr>
          <w:rFonts w:ascii="Times New Roman" w:hAnsi="Times New Roman" w:cs="Times New Roman"/>
          <w:sz w:val="28"/>
          <w:szCs w:val="28"/>
        </w:rPr>
        <w:t xml:space="preserve">14. Администрации муниципальных образований представляют учреждению заявку в кассовый план перечисления субсидий на следующий месяц по установленной форме (приложение 5 к подпрограмме </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Автомобильные дороги</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 в срок до 25 числа текущего месяца.</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7" w:name="Par47"/>
      <w:bookmarkEnd w:id="7"/>
      <w:r w:rsidRPr="00E62040">
        <w:rPr>
          <w:rFonts w:ascii="Times New Roman" w:hAnsi="Times New Roman" w:cs="Times New Roman"/>
          <w:sz w:val="28"/>
          <w:szCs w:val="28"/>
        </w:rPr>
        <w:t>15. Администрации муниципальных образований представляют учреждению заявку на перечисление субсидий (с приложением заверенных копий разрешений на строительство, протоколов осуществления закупок работ (услуг) и муниципальных контрактов (договоров) на выполнение работ (услуг), подлинников справок о стоимости выполненных работ и затрат по форме КС-3, утвержденных Федеральной службой государственной статистики, актов о приемке выполненных работ (услуг), а также платежных документов, подтверждающих оплату долевого финансирования по установленной форме (приложение 6 к подпрограмме "Автомобильные дороги") в срок до 20 числа текущего месяца.</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16. Учреждение представляет главному распорядителю бюджетных средств в срок до 6 числа месяца, следующего за отчетным, сводный отчет об освоении средств областного бюджета, выделенных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 по установленной форме, установленной в соглашении о предоставлении субсидий.</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17. Субсидия носит целевой характер. 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18. Не использованные по состоянию на 1 января очередного финансового года остатки целевых средств подлежат возврату в областной бюджет.</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19. Эффективность использования субсидии оценивается по показателям результативности предоставления субсидий </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Протяженность построенных и реконструированных автомобильных дорог общего пользования местного значения</w:t>
      </w:r>
      <w:r w:rsidR="00E62040" w:rsidRPr="00E62040">
        <w:rPr>
          <w:rFonts w:ascii="Times New Roman" w:hAnsi="Times New Roman" w:cs="Times New Roman"/>
          <w:sz w:val="28"/>
          <w:szCs w:val="28"/>
        </w:rPr>
        <w:t>»</w:t>
      </w:r>
      <w:r w:rsidRPr="00E62040">
        <w:rPr>
          <w:rFonts w:ascii="Times New Roman" w:hAnsi="Times New Roman" w:cs="Times New Roman"/>
          <w:sz w:val="28"/>
          <w:szCs w:val="28"/>
        </w:rPr>
        <w:t xml:space="preserve"> на основании отчетов муниципальных образований и плановых значений показателей по заключенному соглашению о порядке предоставления субсидии.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8" w:name="Par52"/>
      <w:bookmarkEnd w:id="8"/>
      <w:r w:rsidRPr="00E62040">
        <w:rPr>
          <w:rFonts w:ascii="Times New Roman" w:hAnsi="Times New Roman" w:cs="Times New Roman"/>
          <w:sz w:val="28"/>
          <w:szCs w:val="28"/>
        </w:rPr>
        <w:t xml:space="preserve">20.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подпунктами 13.1, 13.2 пункта 13 настоящего Порядка, и в срок до первой даты представления отчетности о достижении значений </w:t>
      </w:r>
      <w:r w:rsidRPr="00E62040">
        <w:rPr>
          <w:rFonts w:ascii="Times New Roman" w:hAnsi="Times New Roman" w:cs="Times New Roman"/>
          <w:sz w:val="28"/>
          <w:szCs w:val="28"/>
        </w:rPr>
        <w:lastRenderedPageBreak/>
        <w:t>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sidRPr="00E62040">
        <w:rPr>
          <w:rFonts w:ascii="Times New Roman" w:hAnsi="Times New Roman" w:cs="Times New Roman"/>
          <w:sz w:val="28"/>
          <w:szCs w:val="28"/>
          <w:vertAlign w:val="subscript"/>
        </w:rPr>
        <w:t>возврата</w:t>
      </w:r>
      <w:r w:rsidRPr="00E62040">
        <w:rPr>
          <w:rFonts w:ascii="Times New Roman" w:hAnsi="Times New Roman" w:cs="Times New Roman"/>
          <w:sz w:val="28"/>
          <w:szCs w:val="28"/>
        </w:rPr>
        <w:t>), рассчитывается по формуле:</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p>
    <w:p w:rsidR="00327EBC" w:rsidRPr="00E62040" w:rsidRDefault="00327EBC" w:rsidP="00E62040">
      <w:pPr>
        <w:autoSpaceDE w:val="0"/>
        <w:autoSpaceDN w:val="0"/>
        <w:adjustRightInd w:val="0"/>
        <w:spacing w:after="0" w:line="240" w:lineRule="auto"/>
        <w:jc w:val="center"/>
        <w:rPr>
          <w:rFonts w:ascii="Times New Roman" w:hAnsi="Times New Roman" w:cs="Times New Roman"/>
          <w:sz w:val="28"/>
          <w:szCs w:val="28"/>
        </w:rPr>
      </w:pPr>
      <w:r w:rsidRPr="00E62040">
        <w:rPr>
          <w:rFonts w:ascii="Times New Roman" w:hAnsi="Times New Roman" w:cs="Times New Roman"/>
          <w:sz w:val="28"/>
          <w:szCs w:val="28"/>
        </w:rPr>
        <w:t>V</w:t>
      </w:r>
      <w:r w:rsidRPr="00E62040">
        <w:rPr>
          <w:rFonts w:ascii="Times New Roman" w:hAnsi="Times New Roman" w:cs="Times New Roman"/>
          <w:sz w:val="28"/>
          <w:szCs w:val="28"/>
          <w:vertAlign w:val="subscript"/>
        </w:rPr>
        <w:t>возврата</w:t>
      </w:r>
      <w:r w:rsidRPr="00E62040">
        <w:rPr>
          <w:rFonts w:ascii="Times New Roman" w:hAnsi="Times New Roman" w:cs="Times New Roman"/>
          <w:sz w:val="28"/>
          <w:szCs w:val="28"/>
        </w:rPr>
        <w:t xml:space="preserve"> = (V</w:t>
      </w:r>
      <w:r w:rsidRPr="00E62040">
        <w:rPr>
          <w:rFonts w:ascii="Times New Roman" w:hAnsi="Times New Roman" w:cs="Times New Roman"/>
          <w:sz w:val="28"/>
          <w:szCs w:val="28"/>
          <w:vertAlign w:val="subscript"/>
        </w:rPr>
        <w:t>субсидии</w:t>
      </w:r>
      <w:r w:rsidRPr="00E62040">
        <w:rPr>
          <w:rFonts w:ascii="Times New Roman" w:hAnsi="Times New Roman" w:cs="Times New Roman"/>
          <w:sz w:val="28"/>
          <w:szCs w:val="28"/>
        </w:rPr>
        <w:t xml:space="preserve"> x k x m / n) x 0,1, где:</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V</w:t>
      </w:r>
      <w:r w:rsidRPr="00E62040">
        <w:rPr>
          <w:rFonts w:ascii="Times New Roman" w:hAnsi="Times New Roman" w:cs="Times New Roman"/>
          <w:sz w:val="28"/>
          <w:szCs w:val="28"/>
          <w:vertAlign w:val="subscript"/>
        </w:rPr>
        <w:t>субсидии</w:t>
      </w:r>
      <w:r w:rsidRPr="00E62040">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n - общее количество показателей результативности использования субсидии;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k - коэффициент возврата субсидии.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sidRPr="00E62040">
        <w:rPr>
          <w:rFonts w:ascii="Times New Roman" w:hAnsi="Times New Roman" w:cs="Times New Roman"/>
          <w:sz w:val="28"/>
          <w:szCs w:val="28"/>
          <w:vertAlign w:val="subscript"/>
        </w:rPr>
        <w:t>субсидии</w:t>
      </w:r>
      <w:r w:rsidRPr="00E62040">
        <w:rPr>
          <w:rFonts w:ascii="Times New Roman" w:hAnsi="Times New Roman" w:cs="Times New Roman"/>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Коэффициент возврата субсидии рассчитывается по формуле:</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p>
    <w:p w:rsidR="00327EBC" w:rsidRPr="00E62040" w:rsidRDefault="00327EBC" w:rsidP="00E62040">
      <w:pPr>
        <w:autoSpaceDE w:val="0"/>
        <w:autoSpaceDN w:val="0"/>
        <w:adjustRightInd w:val="0"/>
        <w:spacing w:after="0" w:line="240" w:lineRule="auto"/>
        <w:jc w:val="center"/>
        <w:rPr>
          <w:rFonts w:ascii="Times New Roman" w:hAnsi="Times New Roman" w:cs="Times New Roman"/>
          <w:sz w:val="28"/>
          <w:szCs w:val="28"/>
          <w:lang w:val="en-US"/>
        </w:rPr>
      </w:pPr>
      <w:r w:rsidRPr="00E62040">
        <w:rPr>
          <w:rFonts w:ascii="Times New Roman" w:hAnsi="Times New Roman" w:cs="Times New Roman"/>
          <w:sz w:val="28"/>
          <w:szCs w:val="28"/>
          <w:lang w:val="en-US"/>
        </w:rPr>
        <w:t xml:space="preserve">k = SUM Di / m, </w:t>
      </w:r>
      <w:r w:rsidRPr="00E62040">
        <w:rPr>
          <w:rFonts w:ascii="Times New Roman" w:hAnsi="Times New Roman" w:cs="Times New Roman"/>
          <w:sz w:val="28"/>
          <w:szCs w:val="28"/>
        </w:rPr>
        <w:t>где</w:t>
      </w:r>
      <w:r w:rsidRPr="00E62040">
        <w:rPr>
          <w:rFonts w:ascii="Times New Roman" w:hAnsi="Times New Roman" w:cs="Times New Roman"/>
          <w:sz w:val="28"/>
          <w:szCs w:val="28"/>
          <w:lang w:val="en-US"/>
        </w:rPr>
        <w:t>:</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lang w:val="en-US"/>
        </w:rPr>
      </w:pP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Di - индекс, отражающий уровень недостижения i-го показателя результативности использования субсидии.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Индекс, отражающий уровень недостижения i-го показателя результативности использования субсидии, определяется по формуле:</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p>
    <w:p w:rsidR="00327EBC" w:rsidRPr="00E62040" w:rsidRDefault="00327EBC" w:rsidP="00E62040">
      <w:pPr>
        <w:autoSpaceDE w:val="0"/>
        <w:autoSpaceDN w:val="0"/>
        <w:adjustRightInd w:val="0"/>
        <w:spacing w:after="0" w:line="240" w:lineRule="auto"/>
        <w:jc w:val="center"/>
        <w:rPr>
          <w:rFonts w:ascii="Times New Roman" w:hAnsi="Times New Roman" w:cs="Times New Roman"/>
          <w:sz w:val="28"/>
          <w:szCs w:val="28"/>
        </w:rPr>
      </w:pPr>
      <w:r w:rsidRPr="00E62040">
        <w:rPr>
          <w:rFonts w:ascii="Times New Roman" w:hAnsi="Times New Roman" w:cs="Times New Roman"/>
          <w:sz w:val="28"/>
          <w:szCs w:val="28"/>
        </w:rPr>
        <w:t>Di = 1 - Ti / Si, где:</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Ti - фактически достигнутое значение i-го показателя результативности использования субсидии на отчетную дату;</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Si - плановое значение i-го показателя результативности использования субсидии, установленное соглашением.</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9" w:name="Par73"/>
      <w:bookmarkEnd w:id="9"/>
      <w:r w:rsidRPr="00E62040">
        <w:rPr>
          <w:rFonts w:ascii="Times New Roman" w:hAnsi="Times New Roman" w:cs="Times New Roman"/>
          <w:sz w:val="28"/>
          <w:szCs w:val="28"/>
        </w:rPr>
        <w:t xml:space="preserve">21. В случае если муниципальным образованием по состоянию на 31 декабря соответствующего финансового года предоставления субсидии </w:t>
      </w:r>
      <w:r w:rsidRPr="00E62040">
        <w:rPr>
          <w:rFonts w:ascii="Times New Roman" w:hAnsi="Times New Roman" w:cs="Times New Roman"/>
          <w:sz w:val="28"/>
          <w:szCs w:val="28"/>
        </w:rPr>
        <w:lastRenderedPageBreak/>
        <w:t>допущены нарушения обязательств, предусмотренных графиком выполнения мероприятий по строительству и реконструкции автомобильных дорог общего пользования местного значения,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в объекты муниципальной собственности, по которым допущено нарушение графика выполнения мероприятий по строительству и реконструкции объектов,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22 настоящего Порядка.</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строительству и реконструкции автомобильных дорог общего пользования местного значения, возврату подлежит объем средств, соответствующий размеру субсидии на софинансирование вложений в объекты муниципальной собственности, определенный в соответствии с абзацем первым настоящего пункта.</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bookmarkStart w:id="10" w:name="Par75"/>
      <w:bookmarkEnd w:id="10"/>
      <w:r w:rsidRPr="00E62040">
        <w:rPr>
          <w:rFonts w:ascii="Times New Roman" w:hAnsi="Times New Roman" w:cs="Times New Roman"/>
          <w:sz w:val="28"/>
          <w:szCs w:val="28"/>
        </w:rPr>
        <w:t>22. Основанием для освобождения муниципальных образований от применения мер ответственности, предусмотренных пунктами 14,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 </w:t>
      </w:r>
      <w:r w:rsidR="00327EBC" w:rsidRPr="00E62040">
        <w:rPr>
          <w:rFonts w:ascii="Times New Roman" w:hAnsi="Times New Roman" w:cs="Times New Roman"/>
          <w:sz w:val="28"/>
          <w:szCs w:val="28"/>
        </w:rPr>
        <w:t>установление регионального (межмуниципального) и (или) местного уровня реагирования на чрезвычайную ситуацию, подтвержденное правовым актом исполнительного органа государственной власти Брянской области и (или) органа местного самоуправления;</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 </w:t>
      </w:r>
      <w:r w:rsidR="00327EBC" w:rsidRPr="00E62040">
        <w:rPr>
          <w:rFonts w:ascii="Times New Roman" w:hAnsi="Times New Roman" w:cs="Times New Roman"/>
          <w:sz w:val="28"/>
          <w:szCs w:val="28"/>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Брянской области;</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 xml:space="preserve">- </w:t>
      </w:r>
      <w:r w:rsidR="00327EBC" w:rsidRPr="00E62040">
        <w:rPr>
          <w:rFonts w:ascii="Times New Roman" w:hAnsi="Times New Roman" w:cs="Times New Roman"/>
          <w:sz w:val="28"/>
          <w:szCs w:val="28"/>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327EBC" w:rsidRPr="00E62040" w:rsidRDefault="00E62040"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lastRenderedPageBreak/>
        <w:t xml:space="preserve">- </w:t>
      </w:r>
      <w:r w:rsidR="00327EBC" w:rsidRPr="00E62040">
        <w:rPr>
          <w:rFonts w:ascii="Times New Roman" w:hAnsi="Times New Roman" w:cs="Times New Roman"/>
          <w:sz w:val="28"/>
          <w:szCs w:val="28"/>
        </w:rPr>
        <w:t>наличие вступившего в законную силу в году предоставления субсидии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 в соответствии с пунктом 10 Порядка.</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23.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24. Главный распорядитель бюджетных средств осуществляет контроль за целевым использованием средств субсидий в соответствии с бюджетным законодательством Российской Федерации, в том числе через подведомственное учреждение.</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25. Учреждение осуществляет контроль за целевым и эффективным использованием бюджетных средств.</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26. Органы местного самоуправления муниципальных образований обеспечивают целевое и эффективное использование бюджетных средств.</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27.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20 и 21 настоящего Порядка, к нему применяются бюджетные меры принуждения, предусмотренные бюджетным законодательством Российской Федерации.</w:t>
      </w:r>
    </w:p>
    <w:p w:rsidR="00327EBC" w:rsidRPr="00E62040" w:rsidRDefault="00327EBC" w:rsidP="00E62040">
      <w:pPr>
        <w:autoSpaceDE w:val="0"/>
        <w:autoSpaceDN w:val="0"/>
        <w:adjustRightInd w:val="0"/>
        <w:spacing w:after="0" w:line="240" w:lineRule="auto"/>
        <w:ind w:firstLine="709"/>
        <w:jc w:val="both"/>
        <w:rPr>
          <w:rFonts w:ascii="Times New Roman" w:hAnsi="Times New Roman" w:cs="Times New Roman"/>
          <w:sz w:val="28"/>
          <w:szCs w:val="28"/>
        </w:rPr>
      </w:pPr>
      <w:r w:rsidRPr="00E62040">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7E2132" w:rsidRDefault="007E2132"/>
    <w:sectPr w:rsidR="007E2132" w:rsidSect="00E62040">
      <w:pgSz w:w="11907" w:h="16840"/>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DB4"/>
    <w:rsid w:val="00327EBC"/>
    <w:rsid w:val="00512A21"/>
    <w:rsid w:val="00520DB4"/>
    <w:rsid w:val="007E2132"/>
    <w:rsid w:val="00A04E99"/>
    <w:rsid w:val="00B94666"/>
    <w:rsid w:val="00E62040"/>
    <w:rsid w:val="00E755F3"/>
    <w:rsid w:val="00EE3337"/>
    <w:rsid w:val="00F418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755F3"/>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755F3"/>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14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2958</Words>
  <Characters>16865</Characters>
  <Application>Microsoft Office Word</Application>
  <DocSecurity>4</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Веркеенко Елена Владимировна</dc:creator>
  <cp:lastModifiedBy>Варульникова С.</cp:lastModifiedBy>
  <cp:revision>2</cp:revision>
  <dcterms:created xsi:type="dcterms:W3CDTF">2020-10-28T15:50:00Z</dcterms:created>
  <dcterms:modified xsi:type="dcterms:W3CDTF">2020-10-28T15:50:00Z</dcterms:modified>
</cp:coreProperties>
</file>